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76" w:rsidRPr="00413010" w:rsidRDefault="00EC5276" w:rsidP="00924E40">
      <w:pPr>
        <w:pStyle w:val="ListParagraph"/>
        <w:numPr>
          <w:ilvl w:val="0"/>
          <w:numId w:val="5"/>
        </w:numPr>
        <w:spacing w:before="240"/>
        <w:ind w:left="357" w:hanging="357"/>
        <w:jc w:val="both"/>
        <w:rPr>
          <w:rFonts w:ascii="Arial" w:hAnsi="Arial" w:cs="Arial"/>
          <w:kern w:val="20"/>
          <w:sz w:val="22"/>
          <w:szCs w:val="22"/>
        </w:rPr>
      </w:pPr>
      <w:bookmarkStart w:id="0" w:name="_GoBack"/>
      <w:bookmarkEnd w:id="0"/>
      <w:r w:rsidRPr="00413010">
        <w:rPr>
          <w:rFonts w:ascii="Arial" w:hAnsi="Arial" w:cs="Arial"/>
          <w:sz w:val="22"/>
          <w:szCs w:val="22"/>
        </w:rPr>
        <w:t xml:space="preserve">The </w:t>
      </w:r>
      <w:r>
        <w:rPr>
          <w:rFonts w:ascii="Arial" w:hAnsi="Arial" w:cs="Arial"/>
          <w:sz w:val="22"/>
          <w:szCs w:val="22"/>
        </w:rPr>
        <w:t xml:space="preserve">Treasury and Trade and Other </w:t>
      </w:r>
      <w:r w:rsidR="008829F2">
        <w:rPr>
          <w:rFonts w:ascii="Arial" w:hAnsi="Arial" w:cs="Arial"/>
          <w:sz w:val="22"/>
          <w:szCs w:val="22"/>
        </w:rPr>
        <w:t>Legislation Amendment Bill 2013</w:t>
      </w:r>
      <w:r>
        <w:rPr>
          <w:rFonts w:ascii="Arial" w:hAnsi="Arial" w:cs="Arial"/>
          <w:sz w:val="22"/>
          <w:szCs w:val="22"/>
        </w:rPr>
        <w:t>:</w:t>
      </w:r>
    </w:p>
    <w:p w:rsidR="00EC5276" w:rsidRPr="00413010" w:rsidRDefault="00EC5276" w:rsidP="00924E40">
      <w:pPr>
        <w:pStyle w:val="ListParagraph"/>
        <w:numPr>
          <w:ilvl w:val="0"/>
          <w:numId w:val="6"/>
        </w:numPr>
        <w:tabs>
          <w:tab w:val="left" w:pos="851"/>
        </w:tabs>
        <w:spacing w:before="120"/>
        <w:ind w:left="851" w:hanging="425"/>
        <w:jc w:val="both"/>
        <w:rPr>
          <w:rFonts w:ascii="Arial" w:hAnsi="Arial" w:cs="Arial"/>
          <w:kern w:val="20"/>
          <w:sz w:val="22"/>
          <w:szCs w:val="22"/>
        </w:rPr>
      </w:pPr>
      <w:r w:rsidRPr="00413010">
        <w:rPr>
          <w:rFonts w:ascii="Arial" w:hAnsi="Arial" w:cs="Arial"/>
          <w:kern w:val="20"/>
          <w:sz w:val="22"/>
          <w:szCs w:val="22"/>
        </w:rPr>
        <w:t>repeal</w:t>
      </w:r>
      <w:r w:rsidR="008829F2">
        <w:rPr>
          <w:rFonts w:ascii="Arial" w:hAnsi="Arial" w:cs="Arial"/>
          <w:kern w:val="20"/>
          <w:sz w:val="22"/>
          <w:szCs w:val="22"/>
        </w:rPr>
        <w:t>s</w:t>
      </w:r>
      <w:r w:rsidRPr="00413010">
        <w:rPr>
          <w:rFonts w:ascii="Arial" w:hAnsi="Arial" w:cs="Arial"/>
          <w:kern w:val="20"/>
          <w:sz w:val="22"/>
          <w:szCs w:val="22"/>
        </w:rPr>
        <w:t xml:space="preserve"> unused Acts, remove</w:t>
      </w:r>
      <w:r w:rsidR="008829F2">
        <w:rPr>
          <w:rFonts w:ascii="Arial" w:hAnsi="Arial" w:cs="Arial"/>
          <w:kern w:val="20"/>
          <w:sz w:val="22"/>
          <w:szCs w:val="22"/>
        </w:rPr>
        <w:t>s</w:t>
      </w:r>
      <w:r w:rsidRPr="00413010">
        <w:rPr>
          <w:rFonts w:ascii="Arial" w:hAnsi="Arial" w:cs="Arial"/>
          <w:kern w:val="20"/>
          <w:sz w:val="22"/>
          <w:szCs w:val="22"/>
        </w:rPr>
        <w:t xml:space="preserve"> redundant provisions, correct</w:t>
      </w:r>
      <w:r w:rsidR="00F05A49">
        <w:rPr>
          <w:rFonts w:ascii="Arial" w:hAnsi="Arial" w:cs="Arial"/>
          <w:kern w:val="20"/>
          <w:sz w:val="22"/>
          <w:szCs w:val="22"/>
        </w:rPr>
        <w:t>s</w:t>
      </w:r>
      <w:r w:rsidRPr="00413010">
        <w:rPr>
          <w:rFonts w:ascii="Arial" w:hAnsi="Arial" w:cs="Arial"/>
          <w:kern w:val="20"/>
          <w:sz w:val="22"/>
          <w:szCs w:val="22"/>
        </w:rPr>
        <w:t xml:space="preserve"> typographical errors and omissions and clarif</w:t>
      </w:r>
      <w:r w:rsidR="008829F2">
        <w:rPr>
          <w:rFonts w:ascii="Arial" w:hAnsi="Arial" w:cs="Arial"/>
          <w:kern w:val="20"/>
          <w:sz w:val="22"/>
          <w:szCs w:val="22"/>
        </w:rPr>
        <w:t>ies</w:t>
      </w:r>
      <w:r w:rsidRPr="00413010">
        <w:rPr>
          <w:rFonts w:ascii="Arial" w:hAnsi="Arial" w:cs="Arial"/>
          <w:kern w:val="20"/>
          <w:sz w:val="22"/>
          <w:szCs w:val="22"/>
        </w:rPr>
        <w:t xml:space="preserve"> and streamline</w:t>
      </w:r>
      <w:r w:rsidR="008829F2">
        <w:rPr>
          <w:rFonts w:ascii="Arial" w:hAnsi="Arial" w:cs="Arial"/>
          <w:kern w:val="20"/>
          <w:sz w:val="22"/>
          <w:szCs w:val="22"/>
        </w:rPr>
        <w:t>s</w:t>
      </w:r>
      <w:r w:rsidRPr="00413010">
        <w:rPr>
          <w:rFonts w:ascii="Arial" w:hAnsi="Arial" w:cs="Arial"/>
          <w:kern w:val="20"/>
          <w:sz w:val="22"/>
          <w:szCs w:val="22"/>
        </w:rPr>
        <w:t xml:space="preserve"> Acts as administered by Queensland Treasury and Trade;</w:t>
      </w:r>
    </w:p>
    <w:p w:rsidR="00EC5276" w:rsidRDefault="00EC5276" w:rsidP="00924E40">
      <w:pPr>
        <w:numPr>
          <w:ilvl w:val="0"/>
          <w:numId w:val="6"/>
        </w:numPr>
        <w:tabs>
          <w:tab w:val="left" w:pos="851"/>
        </w:tabs>
        <w:spacing w:before="120"/>
        <w:ind w:left="851" w:hanging="425"/>
        <w:jc w:val="both"/>
        <w:rPr>
          <w:rFonts w:ascii="Arial" w:hAnsi="Arial" w:cs="Arial"/>
          <w:kern w:val="20"/>
          <w:sz w:val="22"/>
          <w:szCs w:val="22"/>
        </w:rPr>
      </w:pPr>
      <w:r w:rsidRPr="00413010">
        <w:rPr>
          <w:rFonts w:ascii="Arial" w:hAnsi="Arial" w:cs="Arial"/>
          <w:kern w:val="20"/>
          <w:sz w:val="22"/>
          <w:szCs w:val="22"/>
        </w:rPr>
        <w:t>make</w:t>
      </w:r>
      <w:r w:rsidR="008829F2">
        <w:rPr>
          <w:rFonts w:ascii="Arial" w:hAnsi="Arial" w:cs="Arial"/>
          <w:kern w:val="20"/>
          <w:sz w:val="22"/>
          <w:szCs w:val="22"/>
        </w:rPr>
        <w:t>s</w:t>
      </w:r>
      <w:r w:rsidRPr="00413010">
        <w:rPr>
          <w:rFonts w:ascii="Arial" w:hAnsi="Arial" w:cs="Arial"/>
          <w:kern w:val="20"/>
          <w:sz w:val="22"/>
          <w:szCs w:val="22"/>
        </w:rPr>
        <w:t xml:space="preserve"> technical amendments to the </w:t>
      </w:r>
      <w:r w:rsidRPr="00413010">
        <w:rPr>
          <w:rFonts w:ascii="Arial" w:hAnsi="Arial" w:cs="Arial"/>
          <w:i/>
          <w:kern w:val="20"/>
          <w:sz w:val="22"/>
          <w:szCs w:val="22"/>
        </w:rPr>
        <w:t>Motor Accident Insurance Act 1994</w:t>
      </w:r>
      <w:r w:rsidRPr="00413010">
        <w:rPr>
          <w:rFonts w:ascii="Arial" w:hAnsi="Arial" w:cs="Arial"/>
          <w:kern w:val="20"/>
          <w:sz w:val="22"/>
          <w:szCs w:val="22"/>
        </w:rPr>
        <w:t xml:space="preserve"> including an amendment to ensure that the Queensland Police Service and other government emergency service agencies are authorised to give information for identifying or contacting a person who witnessed a motor vehicle accident to the Nominal Defendant (ND) or another CTP insurer if the ND or other CTP insurer reasonably believes the information is necessary to decide the accuracy of matters in a personal injury claim; </w:t>
      </w:r>
    </w:p>
    <w:p w:rsidR="00F1073B" w:rsidRDefault="00EC5276" w:rsidP="00924E40">
      <w:pPr>
        <w:numPr>
          <w:ilvl w:val="0"/>
          <w:numId w:val="6"/>
        </w:numPr>
        <w:tabs>
          <w:tab w:val="left" w:pos="851"/>
        </w:tabs>
        <w:spacing w:before="120"/>
        <w:ind w:left="851" w:hanging="425"/>
        <w:jc w:val="both"/>
        <w:rPr>
          <w:rFonts w:ascii="Arial" w:hAnsi="Arial" w:cs="Arial"/>
          <w:kern w:val="20"/>
          <w:sz w:val="22"/>
          <w:szCs w:val="22"/>
        </w:rPr>
      </w:pPr>
      <w:r w:rsidRPr="00413010">
        <w:rPr>
          <w:rFonts w:ascii="Arial" w:hAnsi="Arial" w:cs="Arial"/>
          <w:kern w:val="20"/>
          <w:sz w:val="22"/>
          <w:szCs w:val="22"/>
        </w:rPr>
        <w:t>amend</w:t>
      </w:r>
      <w:r w:rsidR="008829F2">
        <w:rPr>
          <w:rFonts w:ascii="Arial" w:hAnsi="Arial" w:cs="Arial"/>
          <w:kern w:val="20"/>
          <w:sz w:val="22"/>
          <w:szCs w:val="22"/>
        </w:rPr>
        <w:t>s</w:t>
      </w:r>
      <w:r w:rsidRPr="00413010">
        <w:rPr>
          <w:rFonts w:ascii="Arial" w:hAnsi="Arial" w:cs="Arial"/>
          <w:kern w:val="20"/>
          <w:sz w:val="22"/>
          <w:szCs w:val="22"/>
        </w:rPr>
        <w:t xml:space="preserve"> various Acts to reflect the change of name of a professional organisation</w:t>
      </w:r>
      <w:r w:rsidR="00F1073B">
        <w:rPr>
          <w:rFonts w:ascii="Arial" w:hAnsi="Arial" w:cs="Arial"/>
          <w:kern w:val="20"/>
          <w:sz w:val="22"/>
          <w:szCs w:val="22"/>
        </w:rPr>
        <w:t>;</w:t>
      </w:r>
    </w:p>
    <w:p w:rsidR="00EC5276" w:rsidRDefault="00F1073B" w:rsidP="00924E40">
      <w:pPr>
        <w:numPr>
          <w:ilvl w:val="0"/>
          <w:numId w:val="6"/>
        </w:numPr>
        <w:tabs>
          <w:tab w:val="left" w:pos="851"/>
        </w:tabs>
        <w:spacing w:before="120"/>
        <w:ind w:left="851" w:hanging="425"/>
        <w:jc w:val="both"/>
        <w:rPr>
          <w:rFonts w:ascii="Arial" w:hAnsi="Arial" w:cs="Arial"/>
          <w:kern w:val="20"/>
          <w:sz w:val="22"/>
          <w:szCs w:val="22"/>
        </w:rPr>
      </w:pPr>
      <w:r>
        <w:rPr>
          <w:rFonts w:ascii="Arial" w:hAnsi="Arial" w:cs="Arial"/>
          <w:kern w:val="20"/>
          <w:sz w:val="22"/>
          <w:szCs w:val="22"/>
        </w:rPr>
        <w:t>amend</w:t>
      </w:r>
      <w:r w:rsidR="008829F2">
        <w:rPr>
          <w:rFonts w:ascii="Arial" w:hAnsi="Arial" w:cs="Arial"/>
          <w:kern w:val="20"/>
          <w:sz w:val="22"/>
          <w:szCs w:val="22"/>
        </w:rPr>
        <w:t>s</w:t>
      </w:r>
      <w:r>
        <w:rPr>
          <w:rFonts w:ascii="Arial" w:hAnsi="Arial" w:cs="Arial"/>
          <w:kern w:val="20"/>
          <w:sz w:val="22"/>
          <w:szCs w:val="22"/>
        </w:rPr>
        <w:t xml:space="preserve"> various Acts to support the introduction of authorised electronic reprints of Queensland legislation and electronic notification of subordinate legislation and other technical matters; and</w:t>
      </w:r>
    </w:p>
    <w:p w:rsidR="00F1073B" w:rsidRPr="00413010" w:rsidRDefault="00F1073B" w:rsidP="00924E40">
      <w:pPr>
        <w:numPr>
          <w:ilvl w:val="0"/>
          <w:numId w:val="6"/>
        </w:numPr>
        <w:tabs>
          <w:tab w:val="left" w:pos="851"/>
        </w:tabs>
        <w:spacing w:before="120"/>
        <w:ind w:left="851" w:hanging="425"/>
        <w:jc w:val="both"/>
        <w:rPr>
          <w:rFonts w:ascii="Arial" w:hAnsi="Arial" w:cs="Arial"/>
          <w:kern w:val="20"/>
          <w:sz w:val="22"/>
          <w:szCs w:val="22"/>
        </w:rPr>
      </w:pPr>
      <w:r>
        <w:rPr>
          <w:rFonts w:ascii="Arial" w:hAnsi="Arial" w:cs="Arial"/>
          <w:kern w:val="20"/>
          <w:sz w:val="22"/>
          <w:szCs w:val="22"/>
        </w:rPr>
        <w:t>amend</w:t>
      </w:r>
      <w:r w:rsidR="008829F2">
        <w:rPr>
          <w:rFonts w:ascii="Arial" w:hAnsi="Arial" w:cs="Arial"/>
          <w:kern w:val="20"/>
          <w:sz w:val="22"/>
          <w:szCs w:val="22"/>
        </w:rPr>
        <w:t>s</w:t>
      </w:r>
      <w:r>
        <w:rPr>
          <w:rFonts w:ascii="Arial" w:hAnsi="Arial" w:cs="Arial"/>
          <w:kern w:val="20"/>
          <w:sz w:val="22"/>
          <w:szCs w:val="22"/>
        </w:rPr>
        <w:t xml:space="preserve"> the </w:t>
      </w:r>
      <w:r>
        <w:rPr>
          <w:rFonts w:ascii="Arial" w:hAnsi="Arial" w:cs="Arial"/>
          <w:i/>
          <w:kern w:val="20"/>
          <w:sz w:val="22"/>
          <w:szCs w:val="22"/>
        </w:rPr>
        <w:t>Statutory Instruments Act 1992</w:t>
      </w:r>
      <w:r>
        <w:rPr>
          <w:rFonts w:ascii="Arial" w:hAnsi="Arial" w:cs="Arial"/>
          <w:kern w:val="20"/>
          <w:sz w:val="22"/>
          <w:szCs w:val="22"/>
        </w:rPr>
        <w:t xml:space="preserve"> and the </w:t>
      </w:r>
      <w:r>
        <w:rPr>
          <w:rFonts w:ascii="Arial" w:hAnsi="Arial" w:cs="Arial"/>
          <w:i/>
          <w:kern w:val="20"/>
          <w:sz w:val="22"/>
          <w:szCs w:val="22"/>
        </w:rPr>
        <w:t>Acts Interpretation Act 1954</w:t>
      </w:r>
      <w:r>
        <w:rPr>
          <w:rFonts w:ascii="Arial" w:hAnsi="Arial" w:cs="Arial"/>
          <w:kern w:val="20"/>
          <w:sz w:val="22"/>
          <w:szCs w:val="22"/>
        </w:rPr>
        <w:t xml:space="preserve"> to implement recommendations of the former Scrutiny of Legislation Committee relating to forms made under legislation and the expiry of subordinate legislation.</w:t>
      </w:r>
    </w:p>
    <w:p w:rsidR="00EC5276" w:rsidRDefault="00EC5276" w:rsidP="00924E40">
      <w:pPr>
        <w:pStyle w:val="ListParagraph"/>
        <w:numPr>
          <w:ilvl w:val="0"/>
          <w:numId w:val="5"/>
        </w:numPr>
        <w:spacing w:before="240"/>
        <w:jc w:val="both"/>
        <w:rPr>
          <w:rFonts w:ascii="Arial" w:hAnsi="Arial" w:cs="Arial"/>
          <w:sz w:val="22"/>
          <w:szCs w:val="22"/>
        </w:rPr>
      </w:pPr>
      <w:r w:rsidRPr="00413010">
        <w:rPr>
          <w:rFonts w:ascii="Arial" w:hAnsi="Arial" w:cs="Arial"/>
          <w:sz w:val="22"/>
          <w:szCs w:val="22"/>
          <w:u w:val="single"/>
        </w:rPr>
        <w:t>Cabinet approved</w:t>
      </w:r>
      <w:r>
        <w:rPr>
          <w:rFonts w:ascii="Arial" w:hAnsi="Arial" w:cs="Arial"/>
          <w:sz w:val="22"/>
          <w:szCs w:val="22"/>
        </w:rPr>
        <w:t xml:space="preserve"> the introduction of the </w:t>
      </w:r>
      <w:r w:rsidR="005E065F">
        <w:rPr>
          <w:rFonts w:ascii="Arial" w:hAnsi="Arial" w:cs="Arial"/>
          <w:sz w:val="22"/>
          <w:szCs w:val="22"/>
        </w:rPr>
        <w:t xml:space="preserve">Treasury and Trade and Other Legislation Amendment </w:t>
      </w:r>
      <w:r>
        <w:rPr>
          <w:rFonts w:ascii="Arial" w:hAnsi="Arial" w:cs="Arial"/>
          <w:sz w:val="22"/>
          <w:szCs w:val="22"/>
        </w:rPr>
        <w:t xml:space="preserve">Bill </w:t>
      </w:r>
      <w:r w:rsidR="005E065F">
        <w:rPr>
          <w:rFonts w:ascii="Arial" w:hAnsi="Arial" w:cs="Arial"/>
          <w:sz w:val="22"/>
          <w:szCs w:val="22"/>
        </w:rPr>
        <w:t xml:space="preserve">2013 </w:t>
      </w:r>
      <w:r>
        <w:rPr>
          <w:rFonts w:ascii="Arial" w:hAnsi="Arial" w:cs="Arial"/>
          <w:sz w:val="22"/>
          <w:szCs w:val="22"/>
        </w:rPr>
        <w:t>into the Legislative Assembly.</w:t>
      </w:r>
    </w:p>
    <w:p w:rsidR="00EC5276" w:rsidRPr="005E065F" w:rsidRDefault="00EC5276" w:rsidP="00924E40">
      <w:pPr>
        <w:pStyle w:val="ListParagraph"/>
        <w:numPr>
          <w:ilvl w:val="0"/>
          <w:numId w:val="5"/>
        </w:numPr>
        <w:spacing w:before="360"/>
        <w:ind w:left="357" w:hanging="357"/>
        <w:jc w:val="both"/>
        <w:rPr>
          <w:rFonts w:ascii="Arial" w:hAnsi="Arial" w:cs="Arial"/>
          <w:i/>
          <w:sz w:val="22"/>
          <w:szCs w:val="22"/>
        </w:rPr>
      </w:pPr>
      <w:r w:rsidRPr="005E065F">
        <w:rPr>
          <w:rFonts w:ascii="Arial" w:hAnsi="Arial" w:cs="Arial"/>
          <w:i/>
          <w:sz w:val="22"/>
          <w:szCs w:val="22"/>
          <w:u w:val="single"/>
        </w:rPr>
        <w:t>Attachments</w:t>
      </w:r>
    </w:p>
    <w:p w:rsidR="00EC5276" w:rsidRPr="00EC5276" w:rsidRDefault="003E278A" w:rsidP="00924E40">
      <w:pPr>
        <w:numPr>
          <w:ilvl w:val="0"/>
          <w:numId w:val="4"/>
        </w:numPr>
        <w:spacing w:before="120"/>
        <w:jc w:val="both"/>
        <w:rPr>
          <w:rFonts w:ascii="Arial" w:hAnsi="Arial" w:cs="Arial"/>
          <w:sz w:val="22"/>
          <w:szCs w:val="22"/>
        </w:rPr>
      </w:pPr>
      <w:hyperlink r:id="rId7" w:history="1">
        <w:r w:rsidR="00EC5276" w:rsidRPr="00337B63">
          <w:rPr>
            <w:rStyle w:val="Hyperlink"/>
            <w:rFonts w:ascii="Arial" w:hAnsi="Arial" w:cs="Arial"/>
            <w:sz w:val="22"/>
            <w:szCs w:val="22"/>
          </w:rPr>
          <w:t>Treasury and Trade and Other Legislation Amendment Bill 2013</w:t>
        </w:r>
      </w:hyperlink>
      <w:r w:rsidR="00EC5276" w:rsidRPr="00EC5276">
        <w:rPr>
          <w:rFonts w:ascii="Arial" w:hAnsi="Arial" w:cs="Arial"/>
          <w:sz w:val="22"/>
          <w:szCs w:val="22"/>
        </w:rPr>
        <w:t xml:space="preserve"> </w:t>
      </w:r>
    </w:p>
    <w:p w:rsidR="008829F2" w:rsidRPr="005E065F" w:rsidRDefault="003E278A" w:rsidP="00924E40">
      <w:pPr>
        <w:numPr>
          <w:ilvl w:val="0"/>
          <w:numId w:val="4"/>
        </w:numPr>
        <w:tabs>
          <w:tab w:val="num" w:pos="360"/>
        </w:tabs>
        <w:spacing w:before="120"/>
        <w:jc w:val="both"/>
        <w:rPr>
          <w:rFonts w:ascii="Arial" w:hAnsi="Arial" w:cs="Arial"/>
          <w:sz w:val="22"/>
          <w:szCs w:val="22"/>
        </w:rPr>
      </w:pPr>
      <w:hyperlink r:id="rId8" w:history="1">
        <w:r w:rsidR="00EC5276" w:rsidRPr="00337B63">
          <w:rPr>
            <w:rStyle w:val="Hyperlink"/>
            <w:rFonts w:ascii="Arial" w:hAnsi="Arial" w:cs="Arial"/>
            <w:sz w:val="22"/>
            <w:szCs w:val="22"/>
          </w:rPr>
          <w:t>Explanatory Note</w:t>
        </w:r>
        <w:r w:rsidR="005E065F" w:rsidRPr="00337B63">
          <w:rPr>
            <w:rStyle w:val="Hyperlink"/>
            <w:rFonts w:ascii="Arial" w:hAnsi="Arial" w:cs="Arial"/>
            <w:sz w:val="22"/>
            <w:szCs w:val="22"/>
          </w:rPr>
          <w:t>s</w:t>
        </w:r>
      </w:hyperlink>
    </w:p>
    <w:sectPr w:rsidR="008829F2" w:rsidRPr="005E065F" w:rsidSect="00924E40">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A9" w:rsidRDefault="00FC6EA9" w:rsidP="00D6589B">
      <w:r>
        <w:separator/>
      </w:r>
    </w:p>
  </w:endnote>
  <w:endnote w:type="continuationSeparator" w:id="0">
    <w:p w:rsidR="00FC6EA9" w:rsidRDefault="00FC6EA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A9" w:rsidRDefault="00FC6EA9" w:rsidP="00D6589B">
      <w:r>
        <w:separator/>
      </w:r>
    </w:p>
  </w:footnote>
  <w:footnote w:type="continuationSeparator" w:id="0">
    <w:p w:rsidR="00FC6EA9" w:rsidRDefault="00FC6EA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40" w:rsidRPr="00937A4A" w:rsidRDefault="00924E40"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24E40" w:rsidRPr="00937A4A" w:rsidRDefault="00924E40"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24E40" w:rsidRPr="00937A4A" w:rsidRDefault="00924E40"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55093">
      <w:rPr>
        <w:rFonts w:ascii="Arial" w:hAnsi="Arial" w:cs="Arial"/>
        <w:b/>
        <w:color w:val="auto"/>
        <w:sz w:val="22"/>
        <w:szCs w:val="22"/>
        <w:lang w:eastAsia="en-US"/>
      </w:rPr>
      <w:t>June</w:t>
    </w:r>
    <w:r>
      <w:rPr>
        <w:rFonts w:ascii="Arial" w:hAnsi="Arial" w:cs="Arial"/>
        <w:b/>
        <w:color w:val="auto"/>
        <w:sz w:val="22"/>
        <w:szCs w:val="22"/>
        <w:lang w:eastAsia="en-US"/>
      </w:rPr>
      <w:t xml:space="preserve"> 2013</w:t>
    </w:r>
  </w:p>
  <w:p w:rsidR="00924E40" w:rsidRDefault="00924E40" w:rsidP="00D6589B">
    <w:pPr>
      <w:pStyle w:val="Header"/>
      <w:spacing w:before="120"/>
      <w:rPr>
        <w:rFonts w:ascii="Arial" w:hAnsi="Arial" w:cs="Arial"/>
        <w:b/>
        <w:sz w:val="22"/>
        <w:szCs w:val="22"/>
        <w:u w:val="single"/>
      </w:rPr>
    </w:pPr>
    <w:r>
      <w:rPr>
        <w:rFonts w:ascii="Arial" w:hAnsi="Arial" w:cs="Arial"/>
        <w:b/>
        <w:sz w:val="22"/>
        <w:szCs w:val="22"/>
        <w:u w:val="single"/>
      </w:rPr>
      <w:t>Treasury and Trade and Other Legislation Amendment Bill 2013</w:t>
    </w:r>
  </w:p>
  <w:p w:rsidR="00924E40" w:rsidRDefault="00924E40" w:rsidP="00D6589B">
    <w:pPr>
      <w:pStyle w:val="Header"/>
      <w:spacing w:before="120"/>
      <w:rPr>
        <w:rFonts w:ascii="Arial" w:hAnsi="Arial" w:cs="Arial"/>
        <w:b/>
        <w:sz w:val="22"/>
        <w:szCs w:val="22"/>
        <w:u w:val="single"/>
      </w:rPr>
    </w:pPr>
    <w:r>
      <w:rPr>
        <w:rFonts w:ascii="Arial" w:hAnsi="Arial" w:cs="Arial"/>
        <w:b/>
        <w:sz w:val="22"/>
        <w:szCs w:val="22"/>
        <w:u w:val="single"/>
      </w:rPr>
      <w:t>Treasurer and Minister for Trade</w:t>
    </w:r>
  </w:p>
  <w:p w:rsidR="00924E40" w:rsidRDefault="00924E40"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F7367CB"/>
    <w:multiLevelType w:val="hybridMultilevel"/>
    <w:tmpl w:val="6DD2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6A4917"/>
    <w:multiLevelType w:val="hybridMultilevel"/>
    <w:tmpl w:val="5D6ED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C4C5266"/>
    <w:multiLevelType w:val="hybridMultilevel"/>
    <w:tmpl w:val="E3ACD0E4"/>
    <w:lvl w:ilvl="0" w:tplc="342E14E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80F8F"/>
    <w:rsid w:val="000B12ED"/>
    <w:rsid w:val="0010384C"/>
    <w:rsid w:val="00174117"/>
    <w:rsid w:val="00210A48"/>
    <w:rsid w:val="00273172"/>
    <w:rsid w:val="0031047D"/>
    <w:rsid w:val="00337B63"/>
    <w:rsid w:val="00396F0D"/>
    <w:rsid w:val="003E278A"/>
    <w:rsid w:val="004313DB"/>
    <w:rsid w:val="00491D8E"/>
    <w:rsid w:val="00501C66"/>
    <w:rsid w:val="00550873"/>
    <w:rsid w:val="005E065F"/>
    <w:rsid w:val="00656355"/>
    <w:rsid w:val="006F44EA"/>
    <w:rsid w:val="00701F1C"/>
    <w:rsid w:val="007265D0"/>
    <w:rsid w:val="00732E22"/>
    <w:rsid w:val="00741C20"/>
    <w:rsid w:val="0075175F"/>
    <w:rsid w:val="0081062C"/>
    <w:rsid w:val="008829F2"/>
    <w:rsid w:val="00904077"/>
    <w:rsid w:val="00924E40"/>
    <w:rsid w:val="00937A4A"/>
    <w:rsid w:val="00945402"/>
    <w:rsid w:val="00A0626D"/>
    <w:rsid w:val="00A34AD2"/>
    <w:rsid w:val="00A43A74"/>
    <w:rsid w:val="00A55093"/>
    <w:rsid w:val="00A739A5"/>
    <w:rsid w:val="00AA5DBD"/>
    <w:rsid w:val="00B82439"/>
    <w:rsid w:val="00BC27A4"/>
    <w:rsid w:val="00C75E67"/>
    <w:rsid w:val="00CB1501"/>
    <w:rsid w:val="00CD7A50"/>
    <w:rsid w:val="00CF0D8A"/>
    <w:rsid w:val="00D1740E"/>
    <w:rsid w:val="00D55F27"/>
    <w:rsid w:val="00D6589B"/>
    <w:rsid w:val="00D766EC"/>
    <w:rsid w:val="00EC5276"/>
    <w:rsid w:val="00EC5507"/>
    <w:rsid w:val="00F05A49"/>
    <w:rsid w:val="00F1073B"/>
    <w:rsid w:val="00F13DBE"/>
    <w:rsid w:val="00FC6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EC5276"/>
    <w:pPr>
      <w:ind w:left="720"/>
    </w:pPr>
  </w:style>
  <w:style w:type="character" w:styleId="Hyperlink">
    <w:name w:val="Hyperlink"/>
    <w:uiPriority w:val="99"/>
    <w:unhideWhenUsed/>
    <w:rsid w:val="00337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215</Words>
  <Characters>1281</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1495</CharactersWithSpaces>
  <SharedDoc>false</SharedDoc>
  <HyperlinkBase>https://www.cabinet.qld.gov.au/documents/2013/Jun/TreasTrade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2014-03-04T23:47:00Z</cp:lastPrinted>
  <dcterms:created xsi:type="dcterms:W3CDTF">2017-10-25T00:52:00Z</dcterms:created>
  <dcterms:modified xsi:type="dcterms:W3CDTF">2018-03-06T01:19:00Z</dcterms:modified>
  <cp:category>Legislation,Financial_Administration,Parliamentary_Committees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ies>
</file>